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80" w:rsidRDefault="00280480" w:rsidP="00280480">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280480">
        <w:rPr>
          <w:rFonts w:ascii="Arial" w:eastAsia="Times New Roman" w:hAnsi="Arial" w:cs="Arial"/>
          <w:color w:val="333333"/>
          <w:kern w:val="36"/>
          <w:sz w:val="48"/>
          <w:szCs w:val="48"/>
          <w:lang w:eastAsia="es-CO"/>
        </w:rPr>
        <w:t>Departamento Administrativo de la Función Pública</w:t>
      </w:r>
    </w:p>
    <w:p w:rsidR="00280480" w:rsidRPr="00280480" w:rsidRDefault="00280480" w:rsidP="00280480">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Pr>
          <w:rFonts w:ascii="Arial" w:eastAsia="Times New Roman" w:hAnsi="Arial" w:cs="Arial"/>
          <w:color w:val="333333"/>
          <w:kern w:val="36"/>
          <w:sz w:val="48"/>
          <w:szCs w:val="48"/>
          <w:lang w:eastAsia="es-CO"/>
        </w:rPr>
        <w:t>C</w:t>
      </w:r>
      <w:r w:rsidRPr="00280480">
        <w:rPr>
          <w:rFonts w:ascii="Arial" w:eastAsia="Times New Roman" w:hAnsi="Arial" w:cs="Arial"/>
          <w:color w:val="333333"/>
          <w:kern w:val="36"/>
          <w:sz w:val="48"/>
          <w:szCs w:val="48"/>
          <w:lang w:eastAsia="es-CO"/>
        </w:rPr>
        <w:t>oncepto 304791 de 2019</w:t>
      </w:r>
    </w:p>
    <w:p w:rsidR="00280480" w:rsidRPr="00280480" w:rsidRDefault="00280480" w:rsidP="00280480">
      <w:pPr>
        <w:shd w:val="clear" w:color="auto" w:fill="FFFFFF"/>
        <w:spacing w:before="150" w:after="150" w:line="240" w:lineRule="auto"/>
        <w:jc w:val="right"/>
        <w:rPr>
          <w:rFonts w:ascii="Arial" w:eastAsia="Times New Roman" w:hAnsi="Arial" w:cs="Arial"/>
          <w:color w:val="333333"/>
          <w:sz w:val="23"/>
          <w:szCs w:val="23"/>
          <w:lang w:eastAsia="es-CO"/>
        </w:rPr>
      </w:pPr>
      <w:bookmarkStart w:id="0" w:name="_GoBack"/>
      <w:bookmarkEnd w:id="0"/>
      <w:r w:rsidRPr="00280480">
        <w:rPr>
          <w:rFonts w:ascii="Arial" w:eastAsia="Times New Roman" w:hAnsi="Arial" w:cs="Arial"/>
          <w:color w:val="333333"/>
          <w:sz w:val="23"/>
          <w:szCs w:val="23"/>
          <w:lang w:eastAsia="es-CO"/>
        </w:rPr>
        <w:t>20196000304791*</w:t>
      </w:r>
    </w:p>
    <w:p w:rsidR="00280480" w:rsidRPr="00280480" w:rsidRDefault="00280480" w:rsidP="00280480">
      <w:pPr>
        <w:shd w:val="clear" w:color="auto" w:fill="FFFFFF"/>
        <w:spacing w:before="150" w:after="150" w:line="240" w:lineRule="auto"/>
        <w:jc w:val="right"/>
        <w:rPr>
          <w:rFonts w:ascii="Arial" w:eastAsia="Times New Roman" w:hAnsi="Arial" w:cs="Arial"/>
          <w:color w:val="333333"/>
          <w:sz w:val="23"/>
          <w:szCs w:val="23"/>
          <w:lang w:eastAsia="es-CO"/>
        </w:rPr>
      </w:pPr>
      <w:r w:rsidRPr="00280480">
        <w:rPr>
          <w:rFonts w:ascii="Arial" w:eastAsia="Times New Roman" w:hAnsi="Arial" w:cs="Arial"/>
          <w:color w:val="333333"/>
          <w:sz w:val="23"/>
          <w:szCs w:val="23"/>
          <w:lang w:eastAsia="es-CO"/>
        </w:rPr>
        <w:t> </w:t>
      </w:r>
    </w:p>
    <w:p w:rsidR="00280480" w:rsidRPr="00280480" w:rsidRDefault="00280480" w:rsidP="00280480">
      <w:pPr>
        <w:shd w:val="clear" w:color="auto" w:fill="FFFFFF"/>
        <w:spacing w:before="150" w:after="150" w:line="240" w:lineRule="auto"/>
        <w:jc w:val="right"/>
        <w:rPr>
          <w:rFonts w:ascii="Arial" w:eastAsia="Times New Roman" w:hAnsi="Arial" w:cs="Arial"/>
          <w:color w:val="333333"/>
          <w:sz w:val="23"/>
          <w:szCs w:val="23"/>
          <w:lang w:eastAsia="es-CO"/>
        </w:rPr>
      </w:pPr>
      <w:r w:rsidRPr="00280480">
        <w:rPr>
          <w:rFonts w:ascii="Arial" w:eastAsia="Times New Roman" w:hAnsi="Arial" w:cs="Arial"/>
          <w:color w:val="333333"/>
          <w:sz w:val="23"/>
          <w:szCs w:val="23"/>
          <w:lang w:eastAsia="es-CO"/>
        </w:rPr>
        <w:t> </w:t>
      </w:r>
      <w:r w:rsidRPr="00280480">
        <w:rPr>
          <w:rFonts w:ascii="Arial" w:eastAsia="Times New Roman" w:hAnsi="Arial" w:cs="Arial"/>
          <w:b/>
          <w:bCs/>
          <w:color w:val="333333"/>
          <w:sz w:val="23"/>
          <w:szCs w:val="23"/>
          <w:lang w:eastAsia="es-CO"/>
        </w:rPr>
        <w:t>Al contestar por favor cite estos datos:</w:t>
      </w:r>
    </w:p>
    <w:p w:rsidR="00280480" w:rsidRPr="00280480" w:rsidRDefault="00280480" w:rsidP="00280480">
      <w:pPr>
        <w:shd w:val="clear" w:color="auto" w:fill="FFFFFF"/>
        <w:spacing w:before="150" w:after="150" w:line="240" w:lineRule="auto"/>
        <w:jc w:val="right"/>
        <w:rPr>
          <w:rFonts w:ascii="Arial" w:eastAsia="Times New Roman" w:hAnsi="Arial" w:cs="Arial"/>
          <w:color w:val="333333"/>
          <w:sz w:val="23"/>
          <w:szCs w:val="23"/>
          <w:lang w:eastAsia="es-CO"/>
        </w:rPr>
      </w:pPr>
      <w:r w:rsidRPr="00280480">
        <w:rPr>
          <w:rFonts w:ascii="Arial" w:eastAsia="Times New Roman" w:hAnsi="Arial" w:cs="Arial"/>
          <w:color w:val="333333"/>
          <w:sz w:val="23"/>
          <w:szCs w:val="23"/>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Radicado No.: 20196000304791</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Fecha: 17/09/2019 04:36:58 p.m.</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Bogotá D.C.</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REFERENCIA: RETIRO DEL SERVICIO.</w:t>
      </w:r>
      <w:r w:rsidRPr="00280480">
        <w:rPr>
          <w:rFonts w:ascii="Arial" w:eastAsia="Times New Roman" w:hAnsi="Arial" w:cs="Arial"/>
          <w:color w:val="333333"/>
          <w:sz w:val="24"/>
          <w:szCs w:val="24"/>
          <w:lang w:eastAsia="es-CO"/>
        </w:rPr>
        <w:t> Aplicación del plazo presuntivo a trabajador oficial. </w:t>
      </w:r>
      <w:r w:rsidRPr="00280480">
        <w:rPr>
          <w:rFonts w:ascii="Arial" w:eastAsia="Times New Roman" w:hAnsi="Arial" w:cs="Arial"/>
          <w:b/>
          <w:bCs/>
          <w:color w:val="333333"/>
          <w:sz w:val="24"/>
          <w:szCs w:val="24"/>
          <w:lang w:eastAsia="es-CO"/>
        </w:rPr>
        <w:t>RADICADO: 2019-206-029522-2 </w:t>
      </w:r>
      <w:r w:rsidRPr="00280480">
        <w:rPr>
          <w:rFonts w:ascii="Arial" w:eastAsia="Times New Roman" w:hAnsi="Arial" w:cs="Arial"/>
          <w:color w:val="333333"/>
          <w:sz w:val="24"/>
          <w:szCs w:val="24"/>
          <w:lang w:eastAsia="es-CO"/>
        </w:rPr>
        <w:t xml:space="preserve">del 22 </w:t>
      </w:r>
      <w:proofErr w:type="spellStart"/>
      <w:r w:rsidRPr="00280480">
        <w:rPr>
          <w:rFonts w:ascii="Arial" w:eastAsia="Times New Roman" w:hAnsi="Arial" w:cs="Arial"/>
          <w:color w:val="333333"/>
          <w:sz w:val="24"/>
          <w:szCs w:val="24"/>
          <w:lang w:eastAsia="es-CO"/>
        </w:rPr>
        <w:t>del</w:t>
      </w:r>
      <w:proofErr w:type="spellEnd"/>
      <w:r w:rsidRPr="00280480">
        <w:rPr>
          <w:rFonts w:ascii="Arial" w:eastAsia="Times New Roman" w:hAnsi="Arial" w:cs="Arial"/>
          <w:color w:val="333333"/>
          <w:sz w:val="24"/>
          <w:szCs w:val="24"/>
          <w:lang w:eastAsia="es-CO"/>
        </w:rPr>
        <w:t xml:space="preserve"> agosto de 2019</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En atención a la comunicación de la referencia, me permito manifestarle lo siguiente:</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Tratándose de trabajadores oficiales los mismos, tienen una vinculación de carácter contractual, reglamentada por la Ley </w:t>
      </w:r>
      <w:hyperlink r:id="rId5" w:anchor="6" w:history="1">
        <w:r w:rsidRPr="00280480">
          <w:rPr>
            <w:rFonts w:ascii="Arial" w:eastAsia="Times New Roman" w:hAnsi="Arial" w:cs="Arial"/>
            <w:color w:val="337AB7"/>
            <w:sz w:val="24"/>
            <w:szCs w:val="24"/>
            <w:lang w:eastAsia="es-CO"/>
          </w:rPr>
          <w:t>6ª</w:t>
        </w:r>
      </w:hyperlink>
      <w:r w:rsidRPr="00280480">
        <w:rPr>
          <w:rFonts w:ascii="Arial" w:eastAsia="Times New Roman" w:hAnsi="Arial" w:cs="Arial"/>
          <w:color w:val="333333"/>
          <w:sz w:val="24"/>
          <w:szCs w:val="24"/>
          <w:lang w:eastAsia="es-CO"/>
        </w:rPr>
        <w:t> de 1945 y el Decreto </w:t>
      </w:r>
      <w:hyperlink r:id="rId6" w:anchor="1083" w:history="1">
        <w:r w:rsidRPr="00280480">
          <w:rPr>
            <w:rFonts w:ascii="Arial" w:eastAsia="Times New Roman" w:hAnsi="Arial" w:cs="Arial"/>
            <w:color w:val="337AB7"/>
            <w:sz w:val="24"/>
            <w:szCs w:val="24"/>
            <w:lang w:eastAsia="es-CO"/>
          </w:rPr>
          <w:t>1083</w:t>
        </w:r>
      </w:hyperlink>
      <w:r w:rsidRPr="00280480">
        <w:rPr>
          <w:rFonts w:ascii="Arial" w:eastAsia="Times New Roman" w:hAnsi="Arial" w:cs="Arial"/>
          <w:color w:val="333333"/>
          <w:sz w:val="24"/>
          <w:szCs w:val="24"/>
          <w:lang w:eastAsia="es-CO"/>
        </w:rPr>
        <w:t> de 2015; razón por la cual, las condiciones laborales con las cuales se incorporan son aquellas establecidas en el artículo </w:t>
      </w:r>
      <w:hyperlink r:id="rId7" w:anchor="2.2.30.3.5" w:history="1">
        <w:r w:rsidRPr="00280480">
          <w:rPr>
            <w:rFonts w:ascii="Arial" w:eastAsia="Times New Roman" w:hAnsi="Arial" w:cs="Arial"/>
            <w:color w:val="337AB7"/>
            <w:sz w:val="24"/>
            <w:szCs w:val="24"/>
            <w:lang w:eastAsia="es-CO"/>
          </w:rPr>
          <w:t>2.2.30.3.5</w:t>
        </w:r>
      </w:hyperlink>
      <w:r w:rsidRPr="00280480">
        <w:rPr>
          <w:rFonts w:ascii="Arial" w:eastAsia="Times New Roman" w:hAnsi="Arial" w:cs="Arial"/>
          <w:color w:val="333333"/>
          <w:sz w:val="24"/>
          <w:szCs w:val="24"/>
          <w:lang w:eastAsia="es-CO"/>
        </w:rPr>
        <w:t> del Decreto 1083 de 2015, que al respecto indica:</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«ARTÍCULO </w:t>
      </w:r>
      <w:hyperlink r:id="rId8" w:anchor="2.2.30.3.5" w:history="1">
        <w:r w:rsidRPr="00280480">
          <w:rPr>
            <w:rFonts w:ascii="Arial" w:eastAsia="Times New Roman" w:hAnsi="Arial" w:cs="Arial"/>
            <w:b/>
            <w:bCs/>
            <w:color w:val="337AB7"/>
            <w:sz w:val="24"/>
            <w:szCs w:val="24"/>
            <w:lang w:eastAsia="es-CO"/>
          </w:rPr>
          <w:t>2.2.30.3.5</w:t>
        </w:r>
      </w:hyperlink>
      <w:r w:rsidRPr="00280480">
        <w:rPr>
          <w:rFonts w:ascii="Arial" w:eastAsia="Times New Roman" w:hAnsi="Arial" w:cs="Arial"/>
          <w:b/>
          <w:bCs/>
          <w:color w:val="333333"/>
          <w:sz w:val="24"/>
          <w:szCs w:val="24"/>
          <w:lang w:eastAsia="es-CO"/>
        </w:rPr>
        <w:t> Incorporación de cláusulas favorables al trabajador. </w:t>
      </w:r>
      <w:r w:rsidRPr="00280480">
        <w:rPr>
          <w:rFonts w:ascii="Arial" w:eastAsia="Times New Roman" w:hAnsi="Arial" w:cs="Arial"/>
          <w:color w:val="333333"/>
          <w:sz w:val="24"/>
          <w:szCs w:val="24"/>
          <w:lang w:eastAsia="es-CO"/>
        </w:rPr>
        <w:t>En todo contrato de trabajo se consideran incorporadas, aunque no se expresen, las disposiciones legales pertinentes, las cláusulas de las convenciones colectivas o fallos arbitrales respectivos, y las normas del reglamento interno de la entidad, las cuales, por otra parte, sustituyen de derecho las estipulaciones del contrato individual, en cuanto fueren más favorables para el trabajador.»</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lastRenderedPageBreak/>
        <w:t>De acuerdo a los apartes señalados, se precisa que dentro de las condiciones laborales, se tienen en cuenta las cláusulas pactadas en las convenciones colectivas o en los fallos arbitrales, así como, en las normas del reglamento interno de trabajo siempre que sean más beneficiosas para el trabajador.</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En este sentido, para efectos de determinar los beneficios económicos a los cuales tiene derecho un trabajador oficial, es necesario señalar que los mismos se rigen por el contrato de trabajo, la convención colectiva, los pactos arbitrales y el reglamento interno, por lo tanto, lo que allí no se indicare se regirá por las disposiciones contenidas en la Ley 6 de 1945 y el Decreto 1083 de 2015.</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Ahora bien, en cuanto a las causales de terminación del contrato de trabajo, el Decreto </w:t>
      </w:r>
      <w:hyperlink r:id="rId9" w:anchor="1083" w:history="1">
        <w:r w:rsidRPr="00280480">
          <w:rPr>
            <w:rFonts w:ascii="Arial" w:eastAsia="Times New Roman" w:hAnsi="Arial" w:cs="Arial"/>
            <w:color w:val="337AB7"/>
            <w:sz w:val="24"/>
            <w:szCs w:val="24"/>
            <w:lang w:eastAsia="es-CO"/>
          </w:rPr>
          <w:t>1083</w:t>
        </w:r>
      </w:hyperlink>
      <w:r w:rsidRPr="00280480">
        <w:rPr>
          <w:rFonts w:ascii="Arial" w:eastAsia="Times New Roman" w:hAnsi="Arial" w:cs="Arial"/>
          <w:color w:val="333333"/>
          <w:sz w:val="24"/>
          <w:szCs w:val="24"/>
          <w:lang w:eastAsia="es-CO"/>
        </w:rPr>
        <w:t> de 2015, «por medio del cual se expide el Decreto Único Reglamentario del Sector de Función Pública», señala:</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«ARTÍCULO </w:t>
      </w:r>
      <w:hyperlink r:id="rId10" w:anchor="2.2.30.6.11" w:history="1">
        <w:r w:rsidRPr="00280480">
          <w:rPr>
            <w:rFonts w:ascii="Arial" w:eastAsia="Times New Roman" w:hAnsi="Arial" w:cs="Arial"/>
            <w:b/>
            <w:bCs/>
            <w:color w:val="337AB7"/>
            <w:sz w:val="24"/>
            <w:szCs w:val="24"/>
            <w:lang w:eastAsia="es-CO"/>
          </w:rPr>
          <w:t>2.2.30.6.11</w:t>
        </w:r>
      </w:hyperlink>
      <w:r w:rsidRPr="00280480">
        <w:rPr>
          <w:rFonts w:ascii="Arial" w:eastAsia="Times New Roman" w:hAnsi="Arial" w:cs="Arial"/>
          <w:color w:val="333333"/>
          <w:sz w:val="24"/>
          <w:szCs w:val="24"/>
          <w:lang w:eastAsia="es-CO"/>
        </w:rPr>
        <w:t> </w:t>
      </w:r>
      <w:r w:rsidRPr="00280480">
        <w:rPr>
          <w:rFonts w:ascii="Arial" w:eastAsia="Times New Roman" w:hAnsi="Arial" w:cs="Arial"/>
          <w:b/>
          <w:bCs/>
          <w:i/>
          <w:iCs/>
          <w:color w:val="333333"/>
          <w:sz w:val="24"/>
          <w:szCs w:val="24"/>
          <w:lang w:eastAsia="es-CO"/>
        </w:rPr>
        <w:t>Terminación del contrato de trabajo.</w:t>
      </w:r>
      <w:r w:rsidRPr="00280480">
        <w:rPr>
          <w:rFonts w:ascii="Arial" w:eastAsia="Times New Roman" w:hAnsi="Arial" w:cs="Arial"/>
          <w:color w:val="333333"/>
          <w:sz w:val="24"/>
          <w:szCs w:val="24"/>
          <w:lang w:eastAsia="es-CO"/>
        </w:rPr>
        <w:t> El contrato de trabajo termina:</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1. </w:t>
      </w:r>
      <w:r w:rsidRPr="00280480">
        <w:rPr>
          <w:rFonts w:ascii="Arial" w:eastAsia="Times New Roman" w:hAnsi="Arial" w:cs="Arial"/>
          <w:b/>
          <w:bCs/>
          <w:color w:val="333333"/>
          <w:sz w:val="24"/>
          <w:szCs w:val="24"/>
          <w:u w:val="single"/>
          <w:lang w:eastAsia="es-CO"/>
        </w:rPr>
        <w:t>Por expiración del plazo pactado o presuntivo</w:t>
      </w:r>
      <w:r w:rsidRPr="00280480">
        <w:rPr>
          <w:rFonts w:ascii="Arial" w:eastAsia="Times New Roman" w:hAnsi="Arial" w:cs="Arial"/>
          <w:color w:val="333333"/>
          <w:sz w:val="24"/>
          <w:szCs w:val="24"/>
          <w:lang w:eastAsia="es-CO"/>
        </w:rPr>
        <w:t>.</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2. Por la realización de la obra contratada, aunque el plazo estipulado fuere mayor.</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3. Por la ejecución del trabajo accidental, ocasional o transitorio.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4. Por mutuo consentimiento.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5. Por muerte del asalariado.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6. Por liquidación definitiva de la empresa, o por clausura o suspensión total o parcial de sus actividades durante más de ciento veinte días, por razones técnicas o económicas, siempre que se haya dado el aviso de que trata el numeral </w:t>
      </w:r>
      <w:hyperlink r:id="rId11" w:anchor="2.2.30.6.8.n3" w:history="1">
        <w:r w:rsidRPr="00280480">
          <w:rPr>
            <w:rFonts w:ascii="Arial" w:eastAsia="Times New Roman" w:hAnsi="Arial" w:cs="Arial"/>
            <w:color w:val="337AB7"/>
            <w:sz w:val="24"/>
            <w:szCs w:val="24"/>
            <w:lang w:eastAsia="es-CO"/>
          </w:rPr>
          <w:t>3</w:t>
        </w:r>
      </w:hyperlink>
      <w:r w:rsidRPr="00280480">
        <w:rPr>
          <w:rFonts w:ascii="Arial" w:eastAsia="Times New Roman" w:hAnsi="Arial" w:cs="Arial"/>
          <w:color w:val="333333"/>
          <w:sz w:val="24"/>
          <w:szCs w:val="24"/>
          <w:lang w:eastAsia="es-CO"/>
        </w:rPr>
        <w:t> del artículo 2.2.30.6.8 del presente Decreto, o que se haya pagado un mes de salarios y sin perjuicio de los derechos emanados de contratos a término fijo.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7. Por decisión unilateral, en los casos previstos en los artículos </w:t>
      </w:r>
      <w:hyperlink r:id="rId12" w:anchor="2.2.30.6.12" w:history="1">
        <w:r w:rsidRPr="00280480">
          <w:rPr>
            <w:rFonts w:ascii="Arial" w:eastAsia="Times New Roman" w:hAnsi="Arial" w:cs="Arial"/>
            <w:color w:val="337AB7"/>
            <w:sz w:val="24"/>
            <w:szCs w:val="24"/>
            <w:lang w:eastAsia="es-CO"/>
          </w:rPr>
          <w:t>2.2.30.6.12</w:t>
        </w:r>
      </w:hyperlink>
      <w:r w:rsidRPr="00280480">
        <w:rPr>
          <w:rFonts w:ascii="Arial" w:eastAsia="Times New Roman" w:hAnsi="Arial" w:cs="Arial"/>
          <w:color w:val="333333"/>
          <w:sz w:val="24"/>
          <w:szCs w:val="24"/>
          <w:lang w:eastAsia="es-CO"/>
        </w:rPr>
        <w:t> </w:t>
      </w:r>
      <w:hyperlink r:id="rId13" w:anchor="2.2.30.6.13" w:history="1">
        <w:r w:rsidRPr="00280480">
          <w:rPr>
            <w:rFonts w:ascii="Arial" w:eastAsia="Times New Roman" w:hAnsi="Arial" w:cs="Arial"/>
            <w:color w:val="337AB7"/>
            <w:sz w:val="24"/>
            <w:szCs w:val="24"/>
            <w:lang w:eastAsia="es-CO"/>
          </w:rPr>
          <w:t>2.2.30.6.13</w:t>
        </w:r>
      </w:hyperlink>
      <w:r w:rsidRPr="00280480">
        <w:rPr>
          <w:rFonts w:ascii="Arial" w:eastAsia="Times New Roman" w:hAnsi="Arial" w:cs="Arial"/>
          <w:color w:val="333333"/>
          <w:sz w:val="24"/>
          <w:szCs w:val="24"/>
          <w:lang w:eastAsia="es-CO"/>
        </w:rPr>
        <w:t> y </w:t>
      </w:r>
      <w:hyperlink r:id="rId14" w:anchor="2.2.30.6.14" w:history="1">
        <w:r w:rsidRPr="00280480">
          <w:rPr>
            <w:rFonts w:ascii="Arial" w:eastAsia="Times New Roman" w:hAnsi="Arial" w:cs="Arial"/>
            <w:color w:val="337AB7"/>
            <w:sz w:val="24"/>
            <w:szCs w:val="24"/>
            <w:lang w:eastAsia="es-CO"/>
          </w:rPr>
          <w:t>2.2.30.6.14</w:t>
        </w:r>
      </w:hyperlink>
      <w:r w:rsidRPr="00280480">
        <w:rPr>
          <w:rFonts w:ascii="Arial" w:eastAsia="Times New Roman" w:hAnsi="Arial" w:cs="Arial"/>
          <w:color w:val="333333"/>
          <w:sz w:val="24"/>
          <w:szCs w:val="24"/>
          <w:lang w:eastAsia="es-CO"/>
        </w:rPr>
        <w:t> del presente Decreto.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lastRenderedPageBreak/>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8. Por sentencia de autoridad competente. [Destacado nuestro]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ARTÍCULO </w:t>
      </w:r>
      <w:hyperlink r:id="rId15" w:anchor="2.2.30.6.13" w:history="1">
        <w:r w:rsidRPr="00280480">
          <w:rPr>
            <w:rFonts w:ascii="Arial" w:eastAsia="Times New Roman" w:hAnsi="Arial" w:cs="Arial"/>
            <w:b/>
            <w:bCs/>
            <w:color w:val="337AB7"/>
            <w:sz w:val="24"/>
            <w:szCs w:val="24"/>
            <w:lang w:eastAsia="es-CO"/>
          </w:rPr>
          <w:t>2.2.30.6.13</w:t>
        </w:r>
      </w:hyperlink>
      <w:r w:rsidRPr="00280480">
        <w:rPr>
          <w:rFonts w:ascii="Arial" w:eastAsia="Times New Roman" w:hAnsi="Arial" w:cs="Arial"/>
          <w:b/>
          <w:bCs/>
          <w:color w:val="333333"/>
          <w:sz w:val="24"/>
          <w:szCs w:val="24"/>
          <w:lang w:eastAsia="es-CO"/>
        </w:rPr>
        <w:t> </w:t>
      </w:r>
      <w:r w:rsidRPr="00280480">
        <w:rPr>
          <w:rFonts w:ascii="Arial" w:eastAsia="Times New Roman" w:hAnsi="Arial" w:cs="Arial"/>
          <w:b/>
          <w:bCs/>
          <w:i/>
          <w:iCs/>
          <w:color w:val="333333"/>
          <w:sz w:val="24"/>
          <w:szCs w:val="24"/>
          <w:lang w:eastAsia="es-CO"/>
        </w:rPr>
        <w:t>Terminación con previo aviso.</w:t>
      </w:r>
      <w:r w:rsidRPr="00280480">
        <w:rPr>
          <w:rFonts w:ascii="Arial" w:eastAsia="Times New Roman" w:hAnsi="Arial" w:cs="Arial"/>
          <w:color w:val="333333"/>
          <w:sz w:val="24"/>
          <w:szCs w:val="24"/>
          <w:lang w:eastAsia="es-CO"/>
        </w:rPr>
        <w:t> Son justas causas para dar por terminado, unilateralmente el contrato de trabajo, con previo aviso dado por escrito a la otra parte, con antelación por lo menos igual al período que regule los pagos del salario, o mediante el pago de los salarios correspondientes a tal período: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Por parte del empleador:</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1. La ineptitud plenamente comprobada del trabajador para prestar el servicio convenido. Esta causal no podrá ser alegada después de sesenta días de iniciado el cumplimiento del contrato.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2. La sistemática inejecución sin razones válidas por parte del trabajador, de las obligaciones convencionales o legales.</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3. Todo vicio habitual del trabajador que perturbe la disciplina de la empresa.</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4. La renuencia sistemática del trabajador a aceptar las medidas preventivas, profilácticas o curativas prescritas por los médicos de la empresa o por las autoridades para evitar enfermedades o accidentes.</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5. La enfermedad del trabajador, por seis meses o más; pero el empleador quedará obligado para con el trabajador a satisfacer todas las prestaciones e indemnizaciones legales y convencionales.</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6. Las demás que se hayan previsto, con esta modalidad, en la convención o en el reglamento interno.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ARTÍCULO </w:t>
      </w:r>
      <w:hyperlink r:id="rId16" w:anchor="2.2.30.6.14" w:history="1">
        <w:r w:rsidRPr="00280480">
          <w:rPr>
            <w:rFonts w:ascii="Arial" w:eastAsia="Times New Roman" w:hAnsi="Arial" w:cs="Arial"/>
            <w:b/>
            <w:bCs/>
            <w:color w:val="337AB7"/>
            <w:sz w:val="24"/>
            <w:szCs w:val="24"/>
            <w:lang w:eastAsia="es-CO"/>
          </w:rPr>
          <w:t>2.2.30.6.14</w:t>
        </w:r>
      </w:hyperlink>
      <w:r w:rsidRPr="00280480">
        <w:rPr>
          <w:rFonts w:ascii="Arial" w:eastAsia="Times New Roman" w:hAnsi="Arial" w:cs="Arial"/>
          <w:b/>
          <w:bCs/>
          <w:color w:val="333333"/>
          <w:sz w:val="24"/>
          <w:szCs w:val="24"/>
          <w:lang w:eastAsia="es-CO"/>
        </w:rPr>
        <w:t> </w:t>
      </w:r>
      <w:r w:rsidRPr="00280480">
        <w:rPr>
          <w:rFonts w:ascii="Arial" w:eastAsia="Times New Roman" w:hAnsi="Arial" w:cs="Arial"/>
          <w:b/>
          <w:bCs/>
          <w:i/>
          <w:iCs/>
          <w:color w:val="333333"/>
          <w:sz w:val="24"/>
          <w:szCs w:val="24"/>
          <w:lang w:eastAsia="es-CO"/>
        </w:rPr>
        <w:t>Reserva de la facultad para terminar el contrato.</w:t>
      </w:r>
      <w:r w:rsidRPr="00280480">
        <w:rPr>
          <w:rFonts w:ascii="Arial" w:eastAsia="Times New Roman" w:hAnsi="Arial" w:cs="Arial"/>
          <w:color w:val="333333"/>
          <w:sz w:val="24"/>
          <w:szCs w:val="24"/>
          <w:lang w:eastAsia="es-CO"/>
        </w:rPr>
        <w:t xml:space="preserve"> También podrán las partes reservarse la facultad de terminar unilateralmente cualquier contrato de trabajo, mediante aviso dado a la otra con una antelación que no podrá ser inferior al período que, de conformidad con el contrato o el reglamento interno, o con la costumbre de la región, regule los pagos del salario. </w:t>
      </w:r>
      <w:r w:rsidRPr="00280480">
        <w:rPr>
          <w:rFonts w:ascii="Arial" w:eastAsia="Times New Roman" w:hAnsi="Arial" w:cs="Arial"/>
          <w:color w:val="333333"/>
          <w:sz w:val="24"/>
          <w:szCs w:val="24"/>
          <w:lang w:eastAsia="es-CO"/>
        </w:rPr>
        <w:lastRenderedPageBreak/>
        <w:t>Esta reserva solo será válida cuando conste por escrito, ya en el contrato individual, ya en la convención colectiva si la hay, o ya en el reglamento interno de trabajo aprobado por las autoridades del ramo y siempre que la facultad se otorgue a ambas partes en idéntica forma. Podrá prescindirse del aviso, pagando los salarios correspondientes al mismo período.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De conformidad con lo señalado en la norma en cita, las partes se pueden reservar la facultad de terminar unilateralmente cualquier contrato, independientemente de la causa que lo origine, siempre que cumpla con las siguientes condiciones:</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1) Que conste por escrito, ya sea en el contrato, convención colectiva, o reglamento interno de trabajo.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2) Que la condición se otorgue para ambas partes en idéntica forma.</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Ahora bien, en caso de no contemplarse dicha facultad establece que el contrato de trabajo termina con el cumplimiento del plazo pactado o presuntivo, suceso que no está dentro de las causales para dar por terminado el contrato de trabajo con previo aviso.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Con fundamento en la normativa y jurisprudencia expuesta, se concluye:</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1. El contrato de trabajo termina por cualquiera de las causales descritas en el artículo </w:t>
      </w:r>
      <w:hyperlink r:id="rId17" w:anchor="2.2.30.6.11" w:history="1">
        <w:r w:rsidRPr="00280480">
          <w:rPr>
            <w:rFonts w:ascii="Arial" w:eastAsia="Times New Roman" w:hAnsi="Arial" w:cs="Arial"/>
            <w:color w:val="337AB7"/>
            <w:sz w:val="24"/>
            <w:szCs w:val="24"/>
            <w:lang w:eastAsia="es-CO"/>
          </w:rPr>
          <w:t>2.2.30.6.11</w:t>
        </w:r>
      </w:hyperlink>
      <w:r w:rsidRPr="00280480">
        <w:rPr>
          <w:rFonts w:ascii="Arial" w:eastAsia="Times New Roman" w:hAnsi="Arial" w:cs="Arial"/>
          <w:color w:val="333333"/>
          <w:sz w:val="24"/>
          <w:szCs w:val="24"/>
          <w:lang w:eastAsia="es-CO"/>
        </w:rPr>
        <w:t> del Decreto 1083 de 2015.</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2. Respecto a la terminación del contrato de trabajo por plazo presuntivo, se precisa que el mismo, sólo se presenta en los contratos celebrados por tiempo indefinido o sin fijación de término alguno por cuanto, en ellos se entiende que han sido pactados por un periodo de 6 meses y su prorroga se concibe efectuada en las mismas condiciones, por períodos iguales, de 6 en 6 meses, lo cual quiere decir, que el plazo presuntivo es entendido como una forma de terminación por mutuo acuerdo pactado desde la celebración del contrato.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Para mayor información respecto de las normas de administración de los empleados del sector público; así como las inhabilidades e incompatibilidades aplicables a los mismos, me permito indicar que en el link </w:t>
      </w:r>
      <w:hyperlink r:id="rId18" w:history="1">
        <w:r w:rsidRPr="00280480">
          <w:rPr>
            <w:rFonts w:ascii="Arial" w:eastAsia="Times New Roman" w:hAnsi="Arial" w:cs="Arial"/>
            <w:color w:val="337AB7"/>
            <w:sz w:val="24"/>
            <w:szCs w:val="24"/>
            <w:lang w:eastAsia="es-CO"/>
          </w:rPr>
          <w:t>/</w:t>
        </w:r>
        <w:proofErr w:type="spellStart"/>
        <w:r w:rsidRPr="00280480">
          <w:rPr>
            <w:rFonts w:ascii="Arial" w:eastAsia="Times New Roman" w:hAnsi="Arial" w:cs="Arial"/>
            <w:color w:val="337AB7"/>
            <w:sz w:val="24"/>
            <w:szCs w:val="24"/>
            <w:lang w:eastAsia="es-CO"/>
          </w:rPr>
          <w:t>eva</w:t>
        </w:r>
        <w:proofErr w:type="spellEnd"/>
        <w:r w:rsidRPr="00280480">
          <w:rPr>
            <w:rFonts w:ascii="Arial" w:eastAsia="Times New Roman" w:hAnsi="Arial" w:cs="Arial"/>
            <w:color w:val="337AB7"/>
            <w:sz w:val="24"/>
            <w:szCs w:val="24"/>
            <w:lang w:eastAsia="es-CO"/>
          </w:rPr>
          <w:t>/es/gestor-normativo</w:t>
        </w:r>
      </w:hyperlink>
      <w:r w:rsidRPr="00280480">
        <w:rPr>
          <w:rFonts w:ascii="Arial" w:eastAsia="Times New Roman" w:hAnsi="Arial" w:cs="Arial"/>
          <w:color w:val="333333"/>
          <w:sz w:val="24"/>
          <w:szCs w:val="24"/>
          <w:lang w:eastAsia="es-CO"/>
        </w:rPr>
        <w:t> podrá encontrar conceptos relacionados con el tema, que han sido emitidos por esta Dirección Jurídica.</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lastRenderedPageBreak/>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El anterior concepto se emite en los términos establecidos en el artículo 28 del Código de Procedimiento Administrativo y de lo Contencioso Administrativo.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Cordialmente,</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ARMANDO LÓPEZ CORTES</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b/>
          <w:bCs/>
          <w:color w:val="333333"/>
          <w:sz w:val="24"/>
          <w:szCs w:val="24"/>
          <w:lang w:eastAsia="es-CO"/>
        </w:rPr>
        <w:t>Director Jurídico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Proyectó: Ruth González Sanguino</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Revisó: Jose Fernando Ceballos Arroyave</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Aprobó: Armando López Cortes</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 </w:t>
      </w:r>
    </w:p>
    <w:p w:rsidR="00280480" w:rsidRPr="00280480" w:rsidRDefault="00280480" w:rsidP="00280480">
      <w:pPr>
        <w:shd w:val="clear" w:color="auto" w:fill="FFFFFF"/>
        <w:spacing w:before="150" w:after="150" w:line="240" w:lineRule="auto"/>
        <w:jc w:val="both"/>
        <w:rPr>
          <w:rFonts w:ascii="Arial" w:eastAsia="Times New Roman" w:hAnsi="Arial" w:cs="Arial"/>
          <w:color w:val="333333"/>
          <w:sz w:val="24"/>
          <w:szCs w:val="24"/>
          <w:lang w:eastAsia="es-CO"/>
        </w:rPr>
      </w:pPr>
      <w:r w:rsidRPr="00280480">
        <w:rPr>
          <w:rFonts w:ascii="Arial" w:eastAsia="Times New Roman" w:hAnsi="Arial" w:cs="Arial"/>
          <w:color w:val="333333"/>
          <w:sz w:val="24"/>
          <w:szCs w:val="24"/>
          <w:lang w:eastAsia="es-CO"/>
        </w:rPr>
        <w:t>11602.8.4</w:t>
      </w:r>
    </w:p>
    <w:p w:rsidR="00E77D7C" w:rsidRPr="00280480" w:rsidRDefault="00E77D7C" w:rsidP="00280480">
      <w:pPr>
        <w:jc w:val="both"/>
        <w:rPr>
          <w:rFonts w:ascii="Arial" w:hAnsi="Arial" w:cs="Arial"/>
          <w:sz w:val="24"/>
          <w:szCs w:val="24"/>
        </w:rPr>
      </w:pPr>
    </w:p>
    <w:sectPr w:rsidR="00E77D7C" w:rsidRPr="002804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F53CE"/>
    <w:multiLevelType w:val="multilevel"/>
    <w:tmpl w:val="95324C5A"/>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0"/>
    <w:rsid w:val="00280480"/>
    <w:rsid w:val="00E77D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6AA9-CE66-4BE7-87A8-9E0846AC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80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480"/>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280480"/>
    <w:rPr>
      <w:color w:val="0000FF"/>
      <w:u w:val="single"/>
    </w:rPr>
  </w:style>
  <w:style w:type="paragraph" w:styleId="Puesto">
    <w:name w:val="Title"/>
    <w:basedOn w:val="Normal"/>
    <w:link w:val="PuestoCar"/>
    <w:uiPriority w:val="10"/>
    <w:qFormat/>
    <w:rsid w:val="002804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uestoCar">
    <w:name w:val="Puesto Car"/>
    <w:basedOn w:val="Fuentedeprrafopredeter"/>
    <w:link w:val="Puesto"/>
    <w:uiPriority w:val="10"/>
    <w:rsid w:val="00280480"/>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2804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8048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40911">
      <w:bodyDiv w:val="1"/>
      <w:marLeft w:val="0"/>
      <w:marRight w:val="0"/>
      <w:marTop w:val="0"/>
      <w:marBottom w:val="0"/>
      <w:divBdr>
        <w:top w:val="none" w:sz="0" w:space="0" w:color="auto"/>
        <w:left w:val="none" w:sz="0" w:space="0" w:color="auto"/>
        <w:bottom w:val="none" w:sz="0" w:space="0" w:color="auto"/>
        <w:right w:val="none" w:sz="0" w:space="0" w:color="auto"/>
      </w:divBdr>
      <w:divsChild>
        <w:div w:id="1245794914">
          <w:marLeft w:val="0"/>
          <w:marRight w:val="0"/>
          <w:marTop w:val="0"/>
          <w:marBottom w:val="0"/>
          <w:divBdr>
            <w:top w:val="none" w:sz="0" w:space="0" w:color="auto"/>
            <w:left w:val="none" w:sz="0" w:space="0" w:color="auto"/>
            <w:bottom w:val="none" w:sz="0" w:space="0" w:color="auto"/>
            <w:right w:val="none" w:sz="0" w:space="0" w:color="auto"/>
          </w:divBdr>
          <w:divsChild>
            <w:div w:id="1921678103">
              <w:marLeft w:val="-225"/>
              <w:marRight w:val="-225"/>
              <w:marTop w:val="0"/>
              <w:marBottom w:val="0"/>
              <w:divBdr>
                <w:top w:val="none" w:sz="0" w:space="0" w:color="auto"/>
                <w:left w:val="none" w:sz="0" w:space="0" w:color="auto"/>
                <w:bottom w:val="none" w:sz="0" w:space="0" w:color="auto"/>
                <w:right w:val="none" w:sz="0" w:space="0" w:color="auto"/>
              </w:divBdr>
              <w:divsChild>
                <w:div w:id="679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3603">
          <w:marLeft w:val="-225"/>
          <w:marRight w:val="-225"/>
          <w:marTop w:val="0"/>
          <w:marBottom w:val="0"/>
          <w:divBdr>
            <w:top w:val="none" w:sz="0" w:space="0" w:color="auto"/>
            <w:left w:val="none" w:sz="0" w:space="0" w:color="auto"/>
            <w:bottom w:val="none" w:sz="0" w:space="0" w:color="auto"/>
            <w:right w:val="none" w:sz="0" w:space="0" w:color="auto"/>
          </w:divBdr>
          <w:divsChild>
            <w:div w:id="1746337872">
              <w:marLeft w:val="0"/>
              <w:marRight w:val="0"/>
              <w:marTop w:val="0"/>
              <w:marBottom w:val="0"/>
              <w:divBdr>
                <w:top w:val="none" w:sz="0" w:space="0" w:color="auto"/>
                <w:left w:val="none" w:sz="0" w:space="0" w:color="auto"/>
                <w:bottom w:val="none" w:sz="0" w:space="0" w:color="auto"/>
                <w:right w:val="none" w:sz="0" w:space="0" w:color="auto"/>
              </w:divBdr>
              <w:divsChild>
                <w:div w:id="1227913137">
                  <w:marLeft w:val="0"/>
                  <w:marRight w:val="0"/>
                  <w:marTop w:val="0"/>
                  <w:marBottom w:val="0"/>
                  <w:divBdr>
                    <w:top w:val="none" w:sz="0" w:space="0" w:color="auto"/>
                    <w:left w:val="none" w:sz="0" w:space="0" w:color="auto"/>
                    <w:bottom w:val="none" w:sz="0" w:space="0" w:color="auto"/>
                    <w:right w:val="none" w:sz="0" w:space="0" w:color="auto"/>
                  </w:divBdr>
                </w:div>
                <w:div w:id="2134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https://www.funcionpublica.gov.co/eva/gestornormativo/norma.php?i=62866" TargetMode="External"/><Relationship Id="rId18" Type="http://schemas.openxmlformats.org/officeDocument/2006/relationships/hyperlink" Target="https://www.funcionpublica.gov.co/eva/es/gestor-normativo"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62866" TargetMode="External"/><Relationship Id="rId12" Type="http://schemas.openxmlformats.org/officeDocument/2006/relationships/hyperlink" Target="https://www.funcionpublica.gov.co/eva/gestornormativo/norma.php?i=62866" TargetMode="External"/><Relationship Id="rId17" Type="http://schemas.openxmlformats.org/officeDocument/2006/relationships/hyperlink" Target="https://www.funcionpublica.gov.co/eva/gestornormativo/norma.php?i=62866" TargetMode="External"/><Relationship Id="rId2" Type="http://schemas.openxmlformats.org/officeDocument/2006/relationships/styles" Target="styles.xml"/><Relationship Id="rId16" Type="http://schemas.openxmlformats.org/officeDocument/2006/relationships/hyperlink" Target="https://www.funcionpublica.gov.co/eva/gestornormativo/norma.php?i=6286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ncionpublica.gov.co/eva/gestornormativo/norma.php?i=62866" TargetMode="External"/><Relationship Id="rId11" Type="http://schemas.openxmlformats.org/officeDocument/2006/relationships/hyperlink" Target="https://www.funcionpublica.gov.co/eva/gestornormativo/norma.php?i=62866" TargetMode="External"/><Relationship Id="rId5" Type="http://schemas.openxmlformats.org/officeDocument/2006/relationships/hyperlink" Target="https://www.funcionpublica.gov.co/eva/gestornormativo/norma.php?i=1167" TargetMode="External"/><Relationship Id="rId15" Type="http://schemas.openxmlformats.org/officeDocument/2006/relationships/hyperlink" Target="https://www.funcionpublica.gov.co/eva/gestornormativo/norma.php?i=62866" TargetMode="External"/><Relationship Id="rId10" Type="http://schemas.openxmlformats.org/officeDocument/2006/relationships/hyperlink" Target="https://www.funcionpublica.gov.co/eva/gestornormativo/norma.php?i=628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628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1328</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2019-11-15T15:22:00Z</dcterms:created>
  <dcterms:modified xsi:type="dcterms:W3CDTF">2019-11-15T15:24:00Z</dcterms:modified>
</cp:coreProperties>
</file>